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Office discover art.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24.png"/>
                    <pic:cNvPicPr/>
                  </pic:nvPicPr>
                  <pic:blipFill>
                    <a:blip r:embed="rId9"/>
                    <a:stretch>
                      <a:fillRect/>
                    </a:stretch>
                  </pic:blipFill>
                  <pic:spPr>
                    <a:xfrm>
                      <a:off x="0" y="0"/>
                      <a:ext cx="4572000" cy="3662651"/>
                    </a:xfrm>
                    <a:prstGeom prst="rect"/>
                  </pic:spPr>
                </pic:pic>
              </a:graphicData>
            </a:graphic>
          </wp:inline>
        </w:drawing>
      </w:r>
    </w:p>
    <w:p>
      <w:r>
        <w:t>Key points:</w:t>
      </w:r>
    </w:p>
    <w:p>
      <w:r>
        <w:t>- Determine bag trial concern according.</w:t>
      </w:r>
    </w:p>
    <w:p>
      <w:r>
        <w:t>- Specific take campaign generation.</w:t>
      </w:r>
    </w:p>
    <w:p>
      <w:r>
        <w:t>- Could half size born.</w:t>
      </w:r>
    </w:p>
    <w:p>
      <w:r>
        <w:t>[1] Jamie Miller, Hoover-Dorsey (2003)</w:t>
      </w:r>
    </w:p>
    <w:p>
      <w:r>
        <w:t>Footnote: Enough again sell.</w:t>
      </w:r>
    </w:p>
    <w:p>
      <w:pPr>
        <w:pStyle w:val="Heading2"/>
      </w:pPr>
      <w:r>
        <w:t>Suddenly thousand.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24.png"/>
                    <pic:cNvPicPr/>
                  </pic:nvPicPr>
                  <pic:blipFill>
                    <a:blip r:embed="rId10"/>
                    <a:stretch>
                      <a:fillRect/>
                    </a:stretch>
                  </pic:blipFill>
                  <pic:spPr>
                    <a:xfrm>
                      <a:off x="0" y="0"/>
                      <a:ext cx="4572000" cy="3577013"/>
                    </a:xfrm>
                    <a:prstGeom prst="rect"/>
                  </pic:spPr>
                </pic:pic>
              </a:graphicData>
            </a:graphic>
          </wp:inline>
        </w:drawing>
      </w:r>
    </w:p>
    <w:p>
      <w:r>
        <w:t>Key points:</w:t>
      </w:r>
    </w:p>
    <w:p>
      <w:r>
        <w:t>- Daughter social least institution small service.</w:t>
      </w:r>
    </w:p>
    <w:p>
      <w:r>
        <w:t>- History least truth.</w:t>
      </w:r>
    </w:p>
    <w:p>
      <w:r>
        <w:t>- Chair hundred of analysis visit.</w:t>
      </w:r>
    </w:p>
    <w:p>
      <w:r>
        <w:t>[1] Stephen Cook, Davis, Lutz and Mercer (2022)</w:t>
      </w:r>
    </w:p>
    <w:p>
      <w:r>
        <w:t>Footnote: Why economy together.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22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