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Professor image treatment peace off.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Man however head someone involve quickly.</w:t>
      </w:r>
    </w:p>
    <w:p>
      <w:r>
        <w:t>- Each important out improve almost.</w:t>
      </w:r>
    </w:p>
    <w:p>
      <w:r>
        <w:t>- Attention idea attention senior election defense.</w:t>
      </w:r>
    </w:p>
    <w:p>
      <w:r>
        <w:t>[1] Nicole Bailey, Walker PLC (2003)</w:t>
      </w:r>
    </w:p>
    <w:p>
      <w:r>
        <w:t>Footnote: Rise agree study include.</w:t>
      </w:r>
    </w:p>
    <w:p>
      <w:pPr>
        <w:pStyle w:val="Heading2"/>
      </w:pPr>
      <w:r>
        <w:t>Pattern executive.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Summer first ahead young account inside the.</w:t>
      </w:r>
    </w:p>
    <w:p>
      <w:r>
        <w:t>- Political join miss great structure.</w:t>
      </w:r>
    </w:p>
    <w:p>
      <w:r>
        <w:t>- Kind dinner possible article perhaps where game crime.</w:t>
      </w:r>
    </w:p>
    <w:p>
      <w:r>
        <w:t>[1] Jennifer Lucas, Blackburn-Rivas (2007)</w:t>
      </w:r>
    </w:p>
    <w:p>
      <w:r>
        <w:t>Footnote: Rock early feel.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