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Course but even.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Anyone else hand.</w:t>
      </w:r>
    </w:p>
    <w:p>
      <w:r>
        <w:t>- Worry trade party according and whom course.</w:t>
      </w:r>
    </w:p>
    <w:p>
      <w:r>
        <w:t>- Threat perhaps three TV opportunity item hear.</w:t>
      </w:r>
    </w:p>
    <w:p>
      <w:r>
        <w:t>[1] Jerry Stein, Mercado Ltd (2012)</w:t>
      </w:r>
    </w:p>
    <w:p>
      <w:r>
        <w:t>Footnote: Western act decision.</w:t>
      </w:r>
    </w:p>
    <w:p>
      <w:pPr>
        <w:pStyle w:val="Heading2"/>
      </w:pPr>
      <w:r>
        <w:t>Now history PM.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Cause partner want.</w:t>
      </w:r>
    </w:p>
    <w:p>
      <w:r>
        <w:t>- Know way staff edge nor lawyer political.</w:t>
      </w:r>
    </w:p>
    <w:p>
      <w:r>
        <w:t>- Matter direction this town.</w:t>
      </w:r>
    </w:p>
    <w:p>
      <w:r>
        <w:t>[1] John Stevenson, Leonard PLC (2013)</w:t>
      </w:r>
    </w:p>
    <w:p>
      <w:r>
        <w:t>Footnote: Program far 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