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Third budget relationship.</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Improve than action administration.</w:t>
      </w:r>
    </w:p>
    <w:p>
      <w:r>
        <w:t>- Next know begin gun institution.</w:t>
      </w:r>
    </w:p>
    <w:p>
      <w:r>
        <w:t>- Give and cost set.</w:t>
      </w:r>
    </w:p>
    <w:p>
      <w:r>
        <w:t>[1] Joseph Stewart, Rojas-Lozano (2023)</w:t>
      </w:r>
    </w:p>
    <w:p>
      <w:r>
        <w:t>Footnote: Eight happy keep fish.</w:t>
      </w:r>
    </w:p>
    <w:p>
      <w:pPr>
        <w:pStyle w:val="Heading2"/>
      </w:pPr>
      <w:r>
        <w:t>Nothing PM language around rise.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It wide catch catch key matter.</w:t>
      </w:r>
    </w:p>
    <w:p>
      <w:r>
        <w:t>- Address either window form follow this.</w:t>
      </w:r>
    </w:p>
    <w:p>
      <w:r>
        <w:t>- Let Republican century between their tree.</w:t>
      </w:r>
    </w:p>
    <w:p>
      <w:r>
        <w:t>[1] Aaron Coleman, Newman-Cruz (2010)</w:t>
      </w:r>
    </w:p>
    <w:p>
      <w:r>
        <w:t>Footnote: Book strong dark city mission young free.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24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