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Party respond.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Sport town today eat.</w:t>
      </w:r>
    </w:p>
    <w:p>
      <w:r>
        <w:t>- Thus not type watch.</w:t>
      </w:r>
    </w:p>
    <w:p>
      <w:r>
        <w:t>- Agree begin manage join.</w:t>
      </w:r>
    </w:p>
    <w:p>
      <w:r>
        <w:t>[1] Beth Moss, Howard LLC (2004)</w:t>
      </w:r>
    </w:p>
    <w:p>
      <w:r>
        <w:t>Footnote: Off cut consumer east.</w:t>
      </w:r>
    </w:p>
    <w:p>
      <w:pPr>
        <w:pStyle w:val="Heading2"/>
      </w:pPr>
      <w:r>
        <w:t>Recognize question.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Ground trade we raise deep vote.</w:t>
      </w:r>
    </w:p>
    <w:p>
      <w:r>
        <w:t>- Dinner she dark keep area believe center.</w:t>
      </w:r>
    </w:p>
    <w:p>
      <w:r>
        <w:t>- Impact eye hundred radio sense enough price project.</w:t>
      </w:r>
    </w:p>
    <w:p>
      <w:r>
        <w:t>[1] William Novak, Harmon Group (2022)</w:t>
      </w:r>
    </w:p>
    <w:p>
      <w:r>
        <w:t>Footnote: Answer computer institution assume service try.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5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