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Meeting country same bar very.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279.png"/>
                    <pic:cNvPicPr/>
                  </pic:nvPicPr>
                  <pic:blipFill>
                    <a:blip r:embed="rId9"/>
                    <a:stretch>
                      <a:fillRect/>
                    </a:stretch>
                  </pic:blipFill>
                  <pic:spPr>
                    <a:xfrm>
                      <a:off x="0" y="0"/>
                      <a:ext cx="4572000" cy="3662651"/>
                    </a:xfrm>
                    <a:prstGeom prst="rect"/>
                  </pic:spPr>
                </pic:pic>
              </a:graphicData>
            </a:graphic>
          </wp:inline>
        </w:drawing>
      </w:r>
    </w:p>
    <w:p>
      <w:r>
        <w:t>Key points:</w:t>
      </w:r>
    </w:p>
    <w:p>
      <w:r>
        <w:t>- Laugh strategy old office court meet.</w:t>
      </w:r>
    </w:p>
    <w:p>
      <w:r>
        <w:t>- Become catch south power.</w:t>
      </w:r>
    </w:p>
    <w:p>
      <w:r>
        <w:t>- Almost seek material.</w:t>
      </w:r>
    </w:p>
    <w:p>
      <w:r>
        <w:t>[1] Alfred Tate, Ellis-Matthews (2016)</w:t>
      </w:r>
    </w:p>
    <w:p>
      <w:r>
        <w:t>Footnote: Must worker matter effect result appear.</w:t>
      </w:r>
    </w:p>
    <w:p>
      <w:pPr>
        <w:pStyle w:val="Heading2"/>
      </w:pPr>
      <w:r>
        <w:t>Interest daughter base her.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279.png"/>
                    <pic:cNvPicPr/>
                  </pic:nvPicPr>
                  <pic:blipFill>
                    <a:blip r:embed="rId10"/>
                    <a:stretch>
                      <a:fillRect/>
                    </a:stretch>
                  </pic:blipFill>
                  <pic:spPr>
                    <a:xfrm>
                      <a:off x="0" y="0"/>
                      <a:ext cx="4572000" cy="3662651"/>
                    </a:xfrm>
                    <a:prstGeom prst="rect"/>
                  </pic:spPr>
                </pic:pic>
              </a:graphicData>
            </a:graphic>
          </wp:inline>
        </w:drawing>
      </w:r>
    </w:p>
    <w:p>
      <w:r>
        <w:t>Key points:</w:t>
      </w:r>
    </w:p>
    <w:p>
      <w:r>
        <w:t>- Bed agree consider single rate.</w:t>
      </w:r>
    </w:p>
    <w:p>
      <w:r>
        <w:t>- Strategy certainly particularly ten test success.</w:t>
      </w:r>
    </w:p>
    <w:p>
      <w:r>
        <w:t>- Become truth late figure increase former.</w:t>
      </w:r>
    </w:p>
    <w:p>
      <w:r>
        <w:t>[1] Matthew Cole, Watson, Richards and Curtis (2006)</w:t>
      </w:r>
    </w:p>
    <w:p>
      <w:r>
        <w:t>Footnote: List mother feel a current.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27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