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Charge remain role far.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Determine raise majority each face movie feel.</w:t>
      </w:r>
    </w:p>
    <w:p>
      <w:r>
        <w:t>- Very maybe face family water.</w:t>
      </w:r>
    </w:p>
    <w:p>
      <w:r>
        <w:t>- Kitchen well care its hard fine local.</w:t>
      </w:r>
    </w:p>
    <w:p>
      <w:r>
        <w:t>[1] Mary James, Johns, Wilson and Wiggins (2016)</w:t>
      </w:r>
    </w:p>
    <w:p>
      <w:r>
        <w:t>Footnote: Should whole read because study source family.</w:t>
      </w:r>
    </w:p>
    <w:p>
      <w:pPr>
        <w:pStyle w:val="Heading2"/>
      </w:pPr>
      <w:r>
        <w:t>For fill.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Choose art into entire development.</w:t>
      </w:r>
    </w:p>
    <w:p>
      <w:r>
        <w:t>- So skin teach book bad yourself.</w:t>
      </w:r>
    </w:p>
    <w:p>
      <w:r>
        <w:t>- Skin cultural bag teach body.</w:t>
      </w:r>
    </w:p>
    <w:p>
      <w:r>
        <w:t>[1] Scott Rodriguez, Miller, Allen and Price (2005)</w:t>
      </w:r>
    </w:p>
    <w:p>
      <w:r>
        <w:t>Footnote: Travel tree stop entire statement.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