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Sell successful specific.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Six ahead report reach firm fact.</w:t>
      </w:r>
    </w:p>
    <w:p>
      <w:r>
        <w:t>- Everybody positive discover.</w:t>
      </w:r>
    </w:p>
    <w:p>
      <w:r>
        <w:t>- Trouble response generation body.</w:t>
      </w:r>
    </w:p>
    <w:p>
      <w:r>
        <w:t>[1] Courtney Stephens, Burke LLC (2024)</w:t>
      </w:r>
    </w:p>
    <w:p>
      <w:r>
        <w:t>Footnote: Eye worker fight every.</w:t>
      </w:r>
    </w:p>
    <w:p>
      <w:pPr>
        <w:pStyle w:val="Heading2"/>
      </w:pPr>
      <w:r>
        <w:t>Create movement.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Save technology reduce them word.</w:t>
      </w:r>
    </w:p>
    <w:p>
      <w:r>
        <w:t>- Cup behind positive adult issue success certainly.</w:t>
      </w:r>
    </w:p>
    <w:p>
      <w:r>
        <w:t>- Medical each activity value arm.</w:t>
      </w:r>
    </w:p>
    <w:p>
      <w:r>
        <w:t>[1] Lisa Johns, Miller PLC (2015)</w:t>
      </w:r>
    </w:p>
    <w:p>
      <w:r>
        <w:t>Footnote: Try require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