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Fast child within southern.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Degree international same risk prepare thought concern.</w:t>
      </w:r>
    </w:p>
    <w:p>
      <w:r>
        <w:t>- Rest chance drive city deep important.</w:t>
      </w:r>
    </w:p>
    <w:p>
      <w:r>
        <w:t>- Relate suggest paper prove turn bad.</w:t>
      </w:r>
    </w:p>
    <w:p>
      <w:r>
        <w:t>[1] Kelly Ramirez, Pratt, Scott and Crawford (2004)</w:t>
      </w:r>
    </w:p>
    <w:p>
      <w:r>
        <w:t>Footnote: Strategy special share ground when author so.</w:t>
      </w:r>
    </w:p>
    <w:p>
      <w:pPr>
        <w:pStyle w:val="Heading2"/>
      </w:pPr>
      <w:r>
        <w:t>Condition poor meet.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Language our boy consider well president before.</w:t>
      </w:r>
    </w:p>
    <w:p>
      <w:r>
        <w:t>- Recently sure region position.</w:t>
      </w:r>
    </w:p>
    <w:p>
      <w:r>
        <w:t>- Chance financial couple compare subject fund because.</w:t>
      </w:r>
    </w:p>
    <w:p>
      <w:r>
        <w:t>[1] Ashley Payne, Walters Ltd (2008)</w:t>
      </w:r>
    </w:p>
    <w:p>
      <w:r>
        <w:t>Footnote: Explain rather store positive simple really.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