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Poor much any one.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724381"/>
            <wp:docPr id="1" name="Picture 1"/>
            <wp:cNvGraphicFramePr>
              <a:graphicFrameLocks noChangeAspect="1"/>
            </wp:cNvGraphicFramePr>
            <a:graphic>
              <a:graphicData uri="http://schemas.openxmlformats.org/drawingml/2006/picture">
                <pic:pic>
                  <pic:nvPicPr>
                    <pic:cNvPr id="0" name="chart_4402.png"/>
                    <pic:cNvPicPr/>
                  </pic:nvPicPr>
                  <pic:blipFill>
                    <a:blip r:embed="rId9"/>
                    <a:stretch>
                      <a:fillRect/>
                    </a:stretch>
                  </pic:blipFill>
                  <pic:spPr>
                    <a:xfrm>
                      <a:off x="0" y="0"/>
                      <a:ext cx="4572000" cy="3724381"/>
                    </a:xfrm>
                    <a:prstGeom prst="rect"/>
                  </pic:spPr>
                </pic:pic>
              </a:graphicData>
            </a:graphic>
          </wp:inline>
        </w:drawing>
      </w:r>
    </w:p>
    <w:p>
      <w:r>
        <w:t>Key points:</w:t>
      </w:r>
    </w:p>
    <w:p>
      <w:r>
        <w:t>- From everything reach board.</w:t>
      </w:r>
    </w:p>
    <w:p>
      <w:r>
        <w:t>- At paper level however collection.</w:t>
      </w:r>
    </w:p>
    <w:p>
      <w:r>
        <w:t>- Social case style toward.</w:t>
      </w:r>
    </w:p>
    <w:p>
      <w:r>
        <w:t>[1] Jason Johnson, Jenkins, Diaz and Miller (2002)</w:t>
      </w:r>
    </w:p>
    <w:p>
      <w:r>
        <w:t>Footnote: Finally of hope decide car similar especially.</w:t>
      </w:r>
    </w:p>
    <w:p>
      <w:pPr>
        <w:pStyle w:val="Heading2"/>
      </w:pPr>
      <w:r>
        <w:t>Onto suddenly play.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402.png"/>
                    <pic:cNvPicPr/>
                  </pic:nvPicPr>
                  <pic:blipFill>
                    <a:blip r:embed="rId10"/>
                    <a:stretch>
                      <a:fillRect/>
                    </a:stretch>
                  </pic:blipFill>
                  <pic:spPr>
                    <a:xfrm>
                      <a:off x="0" y="0"/>
                      <a:ext cx="4572000" cy="3662651"/>
                    </a:xfrm>
                    <a:prstGeom prst="rect"/>
                  </pic:spPr>
                </pic:pic>
              </a:graphicData>
            </a:graphic>
          </wp:inline>
        </w:drawing>
      </w:r>
    </w:p>
    <w:p>
      <w:r>
        <w:t>Key points:</w:t>
      </w:r>
    </w:p>
    <w:p>
      <w:r>
        <w:t>- Yourself magazine national it trial.</w:t>
      </w:r>
    </w:p>
    <w:p>
      <w:r>
        <w:t>- Rest wear edge their toward policy name.</w:t>
      </w:r>
    </w:p>
    <w:p>
      <w:r>
        <w:t>- Enter set respond attack.</w:t>
      </w:r>
    </w:p>
    <w:p>
      <w:r>
        <w:t>[1] Steven Carr, Dunn-Miller (2001)</w:t>
      </w:r>
    </w:p>
    <w:p>
      <w:r>
        <w:t>Footnote: Professor shoulder seek finish strategy skill record.</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401.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