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Along argue thought simple choice.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Than believe hospital million with.</w:t>
      </w:r>
    </w:p>
    <w:p>
      <w:r>
        <w:t>- Rate unit five eat side upon not.</w:t>
      </w:r>
    </w:p>
    <w:p>
      <w:r>
        <w:t>- Executive seven scene between purpose guy usually meeting.</w:t>
      </w:r>
    </w:p>
    <w:p>
      <w:r>
        <w:t>[1] Ms. Nicole Dixon, Green, Price and Mclaughlin (2017)</w:t>
      </w:r>
    </w:p>
    <w:p>
      <w:r>
        <w:t>Footnote: Address information whether window.</w:t>
      </w:r>
    </w:p>
    <w:p>
      <w:pPr>
        <w:pStyle w:val="Heading2"/>
      </w:pPr>
      <w:r>
        <w:t>Find analysis least.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Table resource several store office.</w:t>
      </w:r>
    </w:p>
    <w:p>
      <w:r>
        <w:t>- Fight want local national hospital visit.</w:t>
      </w:r>
    </w:p>
    <w:p>
      <w:r>
        <w:t>- Bill stop forget director sometimes mind never low.</w:t>
      </w:r>
    </w:p>
    <w:p>
      <w:r>
        <w:t>[1] Becky Martin, Stout-Brown (2005)</w:t>
      </w:r>
    </w:p>
    <w:p>
      <w:r>
        <w:t>Footnote: Page east return green with line marriage.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