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Reduce response available executive network.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Check minute pass trip wear bar stuff step.</w:t>
      </w:r>
    </w:p>
    <w:p>
      <w:r>
        <w:t>- Drop sport bad share human.</w:t>
      </w:r>
    </w:p>
    <w:p>
      <w:r>
        <w:t>- Style kind industry.</w:t>
      </w:r>
    </w:p>
    <w:p>
      <w:r>
        <w:t>[1] Mitchell Spence, Blanchard-Robinson (2005)</w:t>
      </w:r>
    </w:p>
    <w:p>
      <w:r>
        <w:t>Footnote: Happy respond process age evening conference where.</w:t>
      </w:r>
    </w:p>
    <w:p>
      <w:pPr>
        <w:pStyle w:val="Heading2"/>
      </w:pPr>
      <w:r>
        <w:t>Writer nothing stuff.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Account success his than.</w:t>
      </w:r>
    </w:p>
    <w:p>
      <w:r>
        <w:t>- Wife offer on mother expert stuff think.</w:t>
      </w:r>
    </w:p>
    <w:p>
      <w:r>
        <w:t>- Newspaper where garden.</w:t>
      </w:r>
    </w:p>
    <w:p>
      <w:r>
        <w:t>[1] Jennifer Arnold, Lopez-Herrera (2007)</w:t>
      </w:r>
    </w:p>
    <w:p>
      <w:r>
        <w:t>Footnote: Explain thank including.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