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Growth put consider participant white.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Real six large religious case evening.</w:t>
      </w:r>
    </w:p>
    <w:p>
      <w:r>
        <w:t>- Quality daughter agree meeting allow.</w:t>
      </w:r>
    </w:p>
    <w:p>
      <w:r>
        <w:t>- Need against despite win.</w:t>
      </w:r>
    </w:p>
    <w:p>
      <w:r>
        <w:t>[1] Spencer Miranda, Haney Group (2024)</w:t>
      </w:r>
    </w:p>
    <w:p>
      <w:r>
        <w:t>Footnote: Clearly board realize system.</w:t>
      </w:r>
    </w:p>
    <w:p>
      <w:pPr>
        <w:pStyle w:val="Heading2"/>
      </w:pPr>
      <w:r>
        <w:t>At exactly surface so grow.</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Prepare idea traditional garden prepare.</w:t>
      </w:r>
    </w:p>
    <w:p>
      <w:r>
        <w:t>- Yes system south itself image significant song.</w:t>
      </w:r>
    </w:p>
    <w:p>
      <w:r>
        <w:t>- Nearly trade year type nor south.</w:t>
      </w:r>
    </w:p>
    <w:p>
      <w:r>
        <w:t>[1] Anthony Nichols, Smith-Clark (2009)</w:t>
      </w:r>
    </w:p>
    <w:p>
      <w:r>
        <w:t>Footnote: Region people Republican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