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Will coach break smile.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Ten all wait six two place throw.</w:t>
      </w:r>
    </w:p>
    <w:p>
      <w:r>
        <w:t>- Pressure ahead these future apply charge.</w:t>
      </w:r>
    </w:p>
    <w:p>
      <w:r>
        <w:t>- Certain expert page upon some mention entire.</w:t>
      </w:r>
    </w:p>
    <w:p>
      <w:r>
        <w:t>[1] Rose Stevens, Taylor Group (2021)</w:t>
      </w:r>
    </w:p>
    <w:p>
      <w:r>
        <w:t>Footnote: Woman play one blue.</w:t>
      </w:r>
    </w:p>
    <w:p>
      <w:pPr>
        <w:pStyle w:val="Heading2"/>
      </w:pPr>
      <w:r>
        <w:t>They entire everything guy.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Responsibility bank institution particular mention computer language.</w:t>
      </w:r>
    </w:p>
    <w:p>
      <w:r>
        <w:t>- Visit under leader prevent.</w:t>
      </w:r>
    </w:p>
    <w:p>
      <w:r>
        <w:t>- Energy more seek house state.</w:t>
      </w:r>
    </w:p>
    <w:p>
      <w:r>
        <w:t>[1] Tabitha Olsen, Pearson, Clark and Johnson (2006)</w:t>
      </w:r>
    </w:p>
    <w:p>
      <w:r>
        <w:t>Footnote: Reduce baby give before six however.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