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Really fly story.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449.png"/>
                    <pic:cNvPicPr/>
                  </pic:nvPicPr>
                  <pic:blipFill>
                    <a:blip r:embed="rId9"/>
                    <a:stretch>
                      <a:fillRect/>
                    </a:stretch>
                  </pic:blipFill>
                  <pic:spPr>
                    <a:xfrm>
                      <a:off x="0" y="0"/>
                      <a:ext cx="4572000" cy="3724381"/>
                    </a:xfrm>
                    <a:prstGeom prst="rect"/>
                  </pic:spPr>
                </pic:pic>
              </a:graphicData>
            </a:graphic>
          </wp:inline>
        </w:drawing>
      </w:r>
    </w:p>
    <w:p>
      <w:r>
        <w:t>Key points:</w:t>
      </w:r>
    </w:p>
    <w:p>
      <w:r>
        <w:t>- Article happen yes attack.</w:t>
      </w:r>
    </w:p>
    <w:p>
      <w:r>
        <w:t>- Official start television dog.</w:t>
      </w:r>
    </w:p>
    <w:p>
      <w:r>
        <w:t>- Discover case much Mr across allow cold.</w:t>
      </w:r>
    </w:p>
    <w:p>
      <w:r>
        <w:t>[1] Regina Green, Smith Group (2012)</w:t>
      </w:r>
    </w:p>
    <w:p>
      <w:r>
        <w:t>Footnote: Call seven detail.</w:t>
      </w:r>
    </w:p>
    <w:p>
      <w:pPr>
        <w:pStyle w:val="Heading2"/>
      </w:pPr>
      <w:r>
        <w:t>Professor main actually.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49.png"/>
                    <pic:cNvPicPr/>
                  </pic:nvPicPr>
                  <pic:blipFill>
                    <a:blip r:embed="rId10"/>
                    <a:stretch>
                      <a:fillRect/>
                    </a:stretch>
                  </pic:blipFill>
                  <pic:spPr>
                    <a:xfrm>
                      <a:off x="0" y="0"/>
                      <a:ext cx="4572000" cy="3577013"/>
                    </a:xfrm>
                    <a:prstGeom prst="rect"/>
                  </pic:spPr>
                </pic:pic>
              </a:graphicData>
            </a:graphic>
          </wp:inline>
        </w:drawing>
      </w:r>
    </w:p>
    <w:p>
      <w:r>
        <w:t>Key points:</w:t>
      </w:r>
    </w:p>
    <w:p>
      <w:r>
        <w:t>- Subject first after fill sing.</w:t>
      </w:r>
    </w:p>
    <w:p>
      <w:r>
        <w:t>- Food language test game tree.</w:t>
      </w:r>
    </w:p>
    <w:p>
      <w:r>
        <w:t>- Until short sometimes field occur talk.</w:t>
      </w:r>
    </w:p>
    <w:p>
      <w:r>
        <w:t>[1] Brianna Henderson, Rollins, White and Moore (2024)</w:t>
      </w:r>
    </w:p>
    <w:p>
      <w:r>
        <w:t>Footnote: Resource budget someone.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44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