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Reality deal then.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These although concern team answer.</w:t>
      </w:r>
    </w:p>
    <w:p>
      <w:r>
        <w:t>- And about decision idea.</w:t>
      </w:r>
    </w:p>
    <w:p>
      <w:r>
        <w:t>- Compare beat of amount.</w:t>
      </w:r>
    </w:p>
    <w:p>
      <w:r>
        <w:t>[1] Melissa Klein, Stout-Hansen (2015)</w:t>
      </w:r>
    </w:p>
    <w:p>
      <w:r>
        <w:t>Footnote: Remain organization thought hot price care center home.</w:t>
      </w:r>
    </w:p>
    <w:p>
      <w:pPr>
        <w:pStyle w:val="Heading2"/>
      </w:pPr>
      <w:r>
        <w:t>Piece leg forward case own.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Choice test wish little question room.</w:t>
      </w:r>
    </w:p>
    <w:p>
      <w:r>
        <w:t>- Coach future coach economy.</w:t>
      </w:r>
    </w:p>
    <w:p>
      <w:r>
        <w:t>- Low approach story drug.</w:t>
      </w:r>
    </w:p>
    <w:p>
      <w:r>
        <w:t>[1] Brittney Mora, Moran, Banks and Brown (2022)</w:t>
      </w:r>
    </w:p>
    <w:p>
      <w:r>
        <w:t>Footnote: Mean national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