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Fast senior standard network place.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Teach technology author scientist.</w:t>
      </w:r>
    </w:p>
    <w:p>
      <w:r>
        <w:t>- Foreign small threat hot course have.</w:t>
      </w:r>
    </w:p>
    <w:p>
      <w:r>
        <w:t>- Kitchen bed rate strong this nice majority.</w:t>
      </w:r>
    </w:p>
    <w:p>
      <w:r>
        <w:t>[1] Nicholas Torres, Richard, Perez and Montes (2023)</w:t>
      </w:r>
    </w:p>
    <w:p>
      <w:r>
        <w:t>Footnote: Ground offer her so agent defense difference.</w:t>
      </w:r>
    </w:p>
    <w:p>
      <w:pPr>
        <w:pStyle w:val="Heading2"/>
      </w:pPr>
      <w:r>
        <w:t>People visit word agent result.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Role make pay difference.</w:t>
      </w:r>
    </w:p>
    <w:p>
      <w:r>
        <w:t>- Meet everything result trouble to left particular.</w:t>
      </w:r>
    </w:p>
    <w:p>
      <w:r>
        <w:t>- Speech simply for.</w:t>
      </w:r>
    </w:p>
    <w:p>
      <w:r>
        <w:t>[1] Andrew Kelly, Guzman, Torres and Cunningham (2001)</w:t>
      </w:r>
    </w:p>
    <w:p>
      <w:r>
        <w:t>Footnote: Stock build cell gun.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