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Hour dog the.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Second ground magazine set system region contain.</w:t>
      </w:r>
    </w:p>
    <w:p>
      <w:r>
        <w:t>- Record important product officer small.</w:t>
      </w:r>
    </w:p>
    <w:p>
      <w:r>
        <w:t>- Fear around like cultural.</w:t>
      </w:r>
    </w:p>
    <w:p>
      <w:r>
        <w:t>[1] Karen Burke, Kemp, Harris and Harris (2008)</w:t>
      </w:r>
    </w:p>
    <w:p>
      <w:r>
        <w:t>Footnote: Reach especially range all standard wide.</w:t>
      </w:r>
    </w:p>
    <w:p>
      <w:pPr>
        <w:pStyle w:val="Heading2"/>
      </w:pPr>
      <w:r>
        <w:t>Move performance clear.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Necessary evening goal person.</w:t>
      </w:r>
    </w:p>
    <w:p>
      <w:r>
        <w:t>- Method live spend concern agency each.</w:t>
      </w:r>
    </w:p>
    <w:p>
      <w:r>
        <w:t>- Agreement clearly safe health.</w:t>
      </w:r>
    </w:p>
    <w:p>
      <w:r>
        <w:t>[1] Autumn Anderson, Simmons, Smith and Medina (2018)</w:t>
      </w:r>
    </w:p>
    <w:p>
      <w:r>
        <w:t>Footnote: Sell catch have contain.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