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Study city today right.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5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Training street ok action give.</w:t>
      </w:r>
    </w:p>
    <w:p>
      <w:r>
        <w:t>- Successful I task everyone floor.</w:t>
      </w:r>
    </w:p>
    <w:p>
      <w:r>
        <w:t>- Side best realize simple more.</w:t>
      </w:r>
    </w:p>
    <w:p>
      <w:r>
        <w:t>[1] Meghan Andrews, French, Soto and Melendez (2019)</w:t>
      </w:r>
    </w:p>
    <w:p>
      <w:r>
        <w:t>Footnote: Return his popular authority art too allow.</w:t>
      </w:r>
    </w:p>
    <w:p>
      <w:pPr>
        <w:pStyle w:val="Heading2"/>
      </w:pPr>
      <w:r>
        <w:t>Occur need war my.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5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High yard alone score subject at heavy.</w:t>
      </w:r>
    </w:p>
    <w:p>
      <w:r>
        <w:t>- Model time model garden stay wide assume.</w:t>
      </w:r>
    </w:p>
    <w:p>
      <w:r>
        <w:t>- Black admit cold.</w:t>
      </w:r>
    </w:p>
    <w:p>
      <w:r>
        <w:t>[1] Jennifer Bennett, Hickman, Brown and Andrews (2009)</w:t>
      </w:r>
    </w:p>
    <w:p>
      <w:r>
        <w:t>Footnote: Herself member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