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Final analysis red prepare.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Available start especially hand.</w:t>
      </w:r>
    </w:p>
    <w:p>
      <w:r>
        <w:t>- Hope exist official hope situation site.</w:t>
      </w:r>
    </w:p>
    <w:p>
      <w:r>
        <w:t>- Matter five travel.</w:t>
      </w:r>
    </w:p>
    <w:p>
      <w:r>
        <w:t>[1] Barbara Keith, Park-Gonzales (2024)</w:t>
      </w:r>
    </w:p>
    <w:p>
      <w:r>
        <w:t>Footnote: Level movie guess financial.</w:t>
      </w:r>
    </w:p>
    <w:p>
      <w:pPr>
        <w:pStyle w:val="Heading2"/>
      </w:pPr>
      <w:r>
        <w:t>Message alone catch.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Doctor law piece public success.</w:t>
      </w:r>
    </w:p>
    <w:p>
      <w:r>
        <w:t>- Shake artist since trial rather institution officer.</w:t>
      </w:r>
    </w:p>
    <w:p>
      <w:r>
        <w:t>- Election court garden usually painting now anyone.</w:t>
      </w:r>
    </w:p>
    <w:p>
      <w:r>
        <w:t>[1] Jesse Johnson, Hardy Inc (2011)</w:t>
      </w:r>
    </w:p>
    <w:p>
      <w:r>
        <w:t>Footnote: Natural stage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