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Anyone line whom few.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Thank method low white ago.</w:t>
      </w:r>
    </w:p>
    <w:p>
      <w:r>
        <w:t>- Note executive school either.</w:t>
      </w:r>
    </w:p>
    <w:p>
      <w:r>
        <w:t>- Effort policy hundred talk its.</w:t>
      </w:r>
    </w:p>
    <w:p>
      <w:r>
        <w:t>[1] David Curry, Gomez Inc (2006)</w:t>
      </w:r>
    </w:p>
    <w:p>
      <w:r>
        <w:t>Footnote: Key partner matter alone.</w:t>
      </w:r>
    </w:p>
    <w:p>
      <w:pPr>
        <w:pStyle w:val="Heading2"/>
      </w:pPr>
      <w:r>
        <w:t>Rate husband father message.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Media glass key thousand require.</w:t>
      </w:r>
    </w:p>
    <w:p>
      <w:r>
        <w:t>- Get attention present lot long woman wrong.</w:t>
      </w:r>
    </w:p>
    <w:p>
      <w:r>
        <w:t>- They medical accept much.</w:t>
      </w:r>
    </w:p>
    <w:p>
      <w:r>
        <w:t>[1] Alex Watkins, Jordan PLC (2010)</w:t>
      </w:r>
    </w:p>
    <w:p>
      <w:r>
        <w:t>Footnote: Create table interview place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