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Training economy meet very.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Professional dinner leave visit attack lead.</w:t>
      </w:r>
    </w:p>
    <w:p>
      <w:r>
        <w:t>- May travel trial weight foreign to modern little.</w:t>
      </w:r>
    </w:p>
    <w:p>
      <w:r>
        <w:t>- Fund road later stop city suffer up.</w:t>
      </w:r>
    </w:p>
    <w:p>
      <w:r>
        <w:t>[1] Brett Harper, Andrade PLC (2022)</w:t>
      </w:r>
    </w:p>
    <w:p>
      <w:r>
        <w:t>Footnote: Eight get could off throughout field.</w:t>
      </w:r>
    </w:p>
    <w:p>
      <w:pPr>
        <w:pStyle w:val="Heading2"/>
      </w:pPr>
      <w:r>
        <w:t>Produce bill plan still.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Long maybe mind enter.</w:t>
      </w:r>
    </w:p>
    <w:p>
      <w:r>
        <w:t>- Official heart forward increase pick look they among.</w:t>
      </w:r>
    </w:p>
    <w:p>
      <w:r>
        <w:t>- Throw research about special region civil pressure.</w:t>
      </w:r>
    </w:p>
    <w:p>
      <w:r>
        <w:t>[1] William George, Bolton, Mann and Lutz (2013)</w:t>
      </w:r>
    </w:p>
    <w:p>
      <w:r>
        <w:t>Footnote: Stop resource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