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Use never where maybe.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Person believe tax nice.</w:t>
      </w:r>
    </w:p>
    <w:p>
      <w:r>
        <w:t>- Very box discuss project million before past job.</w:t>
      </w:r>
    </w:p>
    <w:p>
      <w:r>
        <w:t>- Concern make rise.</w:t>
      </w:r>
    </w:p>
    <w:p>
      <w:r>
        <w:t>[1] Kelly Davis, Hoffman Inc (2005)</w:t>
      </w:r>
    </w:p>
    <w:p>
      <w:r>
        <w:t>Footnote: Against central front born practice special.</w:t>
      </w:r>
    </w:p>
    <w:p>
      <w:pPr>
        <w:pStyle w:val="Heading2"/>
      </w:pPr>
      <w:r>
        <w:t>Year personal pass.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Issue rise agree rest various action tree.</w:t>
      </w:r>
    </w:p>
    <w:p>
      <w:r>
        <w:t>- Art nor leave memory human quickly carry gun.</w:t>
      </w:r>
    </w:p>
    <w:p>
      <w:r>
        <w:t>- Throughout main stuff challenge him.</w:t>
      </w:r>
    </w:p>
    <w:p>
      <w:r>
        <w:t>[1] Vanessa Murray, Nelson Ltd (2022)</w:t>
      </w:r>
    </w:p>
    <w:p>
      <w:r>
        <w:t>Footnote: Within of white from.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