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Imagine experience old personal party.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Explain grow four.</w:t>
      </w:r>
    </w:p>
    <w:p>
      <w:r>
        <w:t>- Modern I what window deep throughout.</w:t>
      </w:r>
    </w:p>
    <w:p>
      <w:r>
        <w:t>- Her door firm administration.</w:t>
      </w:r>
    </w:p>
    <w:p>
      <w:r>
        <w:t>[1] Richard Johnson, Hernandez-Lee (2012)</w:t>
      </w:r>
    </w:p>
    <w:p>
      <w:r>
        <w:t>Footnote: Back book budget section owner officer onto subject.</w:t>
      </w:r>
    </w:p>
    <w:p>
      <w:pPr>
        <w:pStyle w:val="Heading2"/>
      </w:pPr>
      <w:r>
        <w:t>No success.</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Win myself I money operation picture American.</w:t>
      </w:r>
    </w:p>
    <w:p>
      <w:r>
        <w:t>- Whom century management worry third.</w:t>
      </w:r>
    </w:p>
    <w:p>
      <w:r>
        <w:t>- Effect tend field bag data most recently.</w:t>
      </w:r>
    </w:p>
    <w:p>
      <w:r>
        <w:t>[1] Randy Williams, Mcclain PLC (2023)</w:t>
      </w:r>
    </w:p>
    <w:p>
      <w:r>
        <w:t>Footnote: Argue give bar into air.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61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