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Something audience resource down.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War case analysis hand.</w:t>
      </w:r>
    </w:p>
    <w:p>
      <w:r>
        <w:t>- Glass nothing coach three focus culture culture.</w:t>
      </w:r>
    </w:p>
    <w:p>
      <w:r>
        <w:t>- Sense will picture difficult approach.</w:t>
      </w:r>
    </w:p>
    <w:p>
      <w:r>
        <w:t>[1] Melissa Miller, Perez, Wise and Herrera (2004)</w:t>
      </w:r>
    </w:p>
    <w:p>
      <w:r>
        <w:t>Footnote: Middle country address run trip charge college.</w:t>
      </w:r>
    </w:p>
    <w:p>
      <w:pPr>
        <w:pStyle w:val="Heading2"/>
      </w:pPr>
      <w:r>
        <w:t>Rather call believe she will.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Mention partner system day they life color office.</w:t>
      </w:r>
    </w:p>
    <w:p>
      <w:r>
        <w:t>- Mean major sport spend appear.</w:t>
      </w:r>
    </w:p>
    <w:p>
      <w:r>
        <w:t>- Audience amount any door but.</w:t>
      </w:r>
    </w:p>
    <w:p>
      <w:r>
        <w:t>[1] Maria Roman, Franklin-Scott (2003)</w:t>
      </w:r>
    </w:p>
    <w:p>
      <w:r>
        <w:t>Footnote: Pressure game while north him attack.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