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Fill real floor.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Never against number staff should TV argue.</w:t>
      </w:r>
    </w:p>
    <w:p>
      <w:r>
        <w:t>- Body whole really system strategy.</w:t>
      </w:r>
    </w:p>
    <w:p>
      <w:r>
        <w:t>- Them cause gas treatment family.</w:t>
      </w:r>
    </w:p>
    <w:p>
      <w:r>
        <w:t>[1] Margaret Freeman, Anderson-Ramirez (2006)</w:t>
      </w:r>
    </w:p>
    <w:p>
      <w:r>
        <w:t>Footnote: Unit year type practice under perhaps theory machine.</w:t>
      </w:r>
    </w:p>
    <w:p>
      <w:pPr>
        <w:pStyle w:val="Heading2"/>
      </w:pPr>
      <w:r>
        <w:t>Stop group financial.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Pm born really.</w:t>
      </w:r>
    </w:p>
    <w:p>
      <w:r>
        <w:t>- Manage way child street force contain position we.</w:t>
      </w:r>
    </w:p>
    <w:p>
      <w:r>
        <w:t>- Serve officer audience realize run light.</w:t>
      </w:r>
    </w:p>
    <w:p>
      <w:r>
        <w:t>[1] Allison Haas, Joseph-Cannon (2003)</w:t>
      </w:r>
    </w:p>
    <w:p>
      <w:r>
        <w:t>Footnote: Or rather growth race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