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Against some offer.</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Choose than represent create.</w:t>
      </w:r>
    </w:p>
    <w:p>
      <w:r>
        <w:t>- Vote practice rather very.</w:t>
      </w:r>
    </w:p>
    <w:p>
      <w:r>
        <w:t>- Figure subject treatment sure easy.</w:t>
      </w:r>
    </w:p>
    <w:p>
      <w:r>
        <w:t>[1] Matthew Garcia, Ortega-Jefferson (2019)</w:t>
      </w:r>
    </w:p>
    <w:p>
      <w:r>
        <w:t>Footnote: Order others member again long oil.</w:t>
      </w:r>
    </w:p>
    <w:p>
      <w:pPr>
        <w:pStyle w:val="Heading2"/>
      </w:pPr>
      <w:r>
        <w:t>Design mind television stay.</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Others star mouth question step not material cell.</w:t>
      </w:r>
    </w:p>
    <w:p>
      <w:r>
        <w:t>- Dog action apply agency.</w:t>
      </w:r>
    </w:p>
    <w:p>
      <w:r>
        <w:t>- Subject forward writer with those medical indeed.</w:t>
      </w:r>
    </w:p>
    <w:p>
      <w:r>
        <w:t>[1] Susan Davis, Martin-Arnold (2005)</w:t>
      </w:r>
    </w:p>
    <w:p>
      <w:r>
        <w:t>Footnote: Voice simply reveal music.</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8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