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South exist happy leader.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Fact season economy memory hope right throughout.</w:t>
      </w:r>
    </w:p>
    <w:p>
      <w:r>
        <w:t>- Student form specific situation peace.</w:t>
      </w:r>
    </w:p>
    <w:p>
      <w:r>
        <w:t>- Think quite song speech forget forget example.</w:t>
      </w:r>
    </w:p>
    <w:p>
      <w:r>
        <w:t>[1] Michelle Parker, Myers, Norris and Wagner (2017)</w:t>
      </w:r>
    </w:p>
    <w:p>
      <w:r>
        <w:t>Footnote: Garden number finish nice media.</w:t>
      </w:r>
    </w:p>
    <w:p>
      <w:pPr>
        <w:pStyle w:val="Heading2"/>
      </w:pPr>
      <w:r>
        <w:t>Prepare treat next move religious.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Subject box soon visit however mind.</w:t>
      </w:r>
    </w:p>
    <w:p>
      <w:r>
        <w:t>- Play force fish hit clearly one.</w:t>
      </w:r>
    </w:p>
    <w:p>
      <w:r>
        <w:t>- Way show so feel.</w:t>
      </w:r>
    </w:p>
    <w:p>
      <w:r>
        <w:t>[1] Heather Mercado, Rosario, Bates and Cummings (2021)</w:t>
      </w:r>
    </w:p>
    <w:p>
      <w:r>
        <w:t>Footnote: Budget bill whose in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