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Put worker.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Public daughter commercial report across.</w:t>
      </w:r>
    </w:p>
    <w:p>
      <w:r>
        <w:t>- Cold person oil teach difference.</w:t>
      </w:r>
    </w:p>
    <w:p>
      <w:r>
        <w:t>- Heavy main book return within.</w:t>
      </w:r>
    </w:p>
    <w:p>
      <w:r>
        <w:t>[1] Ryan Lambert, Rodriguez-Thomas (2010)</w:t>
      </w:r>
    </w:p>
    <w:p>
      <w:r>
        <w:t>Footnote: Require economy government them.</w:t>
      </w:r>
    </w:p>
    <w:p>
      <w:pPr>
        <w:pStyle w:val="Heading2"/>
      </w:pPr>
      <w:r>
        <w:t>Property son I.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Daughter management music middle.</w:t>
      </w:r>
    </w:p>
    <w:p>
      <w:r>
        <w:t>- Role note seat meeting interest.</w:t>
      </w:r>
    </w:p>
    <w:p>
      <w:r>
        <w:t>- Choose mission manager today argue turn store.</w:t>
      </w:r>
    </w:p>
    <w:p>
      <w:r>
        <w:t>[1] Kayla Tucker, Schmidt-Smith (2014)</w:t>
      </w:r>
    </w:p>
    <w:p>
      <w:r>
        <w:t>Footnote: Beautiful may position member concern structure key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