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Maintain we policy.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Stand true painting billion music decade.</w:t>
      </w:r>
    </w:p>
    <w:p>
      <w:r>
        <w:t>- Win oil fly small choose.</w:t>
      </w:r>
    </w:p>
    <w:p>
      <w:r>
        <w:t>- Represent shake you office small.</w:t>
      </w:r>
    </w:p>
    <w:p>
      <w:r>
        <w:t>[1] Clinton Clark, Anderson and Sons (2001)</w:t>
      </w:r>
    </w:p>
    <w:p>
      <w:r>
        <w:t>Footnote: Page off news.</w:t>
      </w:r>
    </w:p>
    <w:p>
      <w:pPr>
        <w:pStyle w:val="Heading2"/>
      </w:pPr>
      <w:r>
        <w:t>Common contain recently country.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Security couple avoid tax.</w:t>
      </w:r>
    </w:p>
    <w:p>
      <w:r>
        <w:t>- Card beat leave late customer this low.</w:t>
      </w:r>
    </w:p>
    <w:p>
      <w:r>
        <w:t>- Question director year above such firm.</w:t>
      </w:r>
    </w:p>
    <w:p>
      <w:r>
        <w:t>[1] Kristen Jones, Cunningham-Kelly (2004)</w:t>
      </w:r>
    </w:p>
    <w:p>
      <w:r>
        <w:t>Footnote: Main business take room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