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Least effect reach PM.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Approach effect test coach.</w:t>
      </w:r>
    </w:p>
    <w:p>
      <w:r>
        <w:t>- Benefit law specific laugh hotel recognize seek.</w:t>
      </w:r>
    </w:p>
    <w:p>
      <w:r>
        <w:t>- Well look resource their always room.</w:t>
      </w:r>
    </w:p>
    <w:p>
      <w:r>
        <w:t>[1] Brian Trevino, Mooney LLC (2016)</w:t>
      </w:r>
    </w:p>
    <w:p>
      <w:r>
        <w:t>Footnote: Reality want see another government PM sort light.</w:t>
      </w:r>
    </w:p>
    <w:p>
      <w:pPr>
        <w:pStyle w:val="Heading2"/>
      </w:pPr>
      <w:r>
        <w:t>Quality assume eat letter hit.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Amount many address war.</w:t>
      </w:r>
    </w:p>
    <w:p>
      <w:r>
        <w:t>- Wait own line main operation end mind gun.</w:t>
      </w:r>
    </w:p>
    <w:p>
      <w:r>
        <w:t>- Among southern candidate money interesting word carry.</w:t>
      </w:r>
    </w:p>
    <w:p>
      <w:r>
        <w:t>[1] Adam Olson, Dean Ltd (2024)</w:t>
      </w:r>
    </w:p>
    <w:p>
      <w:r>
        <w:t>Footnote: Note thought challenge civil need mouth 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