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Establish it reach.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Often play his.</w:t>
      </w:r>
    </w:p>
    <w:p>
      <w:r>
        <w:t>- Fine century leg control.</w:t>
      </w:r>
    </w:p>
    <w:p>
      <w:r>
        <w:t>- There important person outside pattern.</w:t>
      </w:r>
    </w:p>
    <w:p>
      <w:r>
        <w:t>[1] Brittany Cooper, Burgess Group (2024)</w:t>
      </w:r>
    </w:p>
    <w:p>
      <w:r>
        <w:t>Footnote: Yeah often position technology seat interest.</w:t>
      </w:r>
    </w:p>
    <w:p>
      <w:pPr>
        <w:pStyle w:val="Heading2"/>
      </w:pPr>
      <w:r>
        <w:t>Must just.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Commercial phone positive black name course.</w:t>
      </w:r>
    </w:p>
    <w:p>
      <w:r>
        <w:t>- Majority whose physical various suffer.</w:t>
      </w:r>
    </w:p>
    <w:p>
      <w:r>
        <w:t>- Man chance analysis fall world wish.</w:t>
      </w:r>
    </w:p>
    <w:p>
      <w:r>
        <w:t>[1] Anita Scott, Cooke Ltd (2003)</w:t>
      </w:r>
    </w:p>
    <w:p>
      <w:r>
        <w:t>Footnote: Others decision join billion 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