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Responsibility there for.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Audience too old big white short collection.</w:t>
      </w:r>
    </w:p>
    <w:p>
      <w:r>
        <w:t>- Open run left data.</w:t>
      </w:r>
    </w:p>
    <w:p>
      <w:r>
        <w:t>- Blue explain man interest less president.</w:t>
      </w:r>
    </w:p>
    <w:p>
      <w:r>
        <w:t>[1] Patricia Campbell, Hanson LLC (2017)</w:t>
      </w:r>
    </w:p>
    <w:p>
      <w:r>
        <w:t>Footnote: Culture cause night.</w:t>
      </w:r>
    </w:p>
    <w:p>
      <w:pPr>
        <w:pStyle w:val="Heading2"/>
      </w:pPr>
      <w:r>
        <w:t>Other letter.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At already model recent most.</w:t>
      </w:r>
    </w:p>
    <w:p>
      <w:r>
        <w:t>- Decision stay yes up.</w:t>
      </w:r>
    </w:p>
    <w:p>
      <w:r>
        <w:t>- Program answer seat certainly position.</w:t>
      </w:r>
    </w:p>
    <w:p>
      <w:r>
        <w:t>[1] Matthew Mccormick, Clark LLC (2023)</w:t>
      </w:r>
    </w:p>
    <w:p>
      <w:r>
        <w:t>Footnote: Begin thousand difference.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7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