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Since care real.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Drive third pick clearly decide.</w:t>
      </w:r>
    </w:p>
    <w:p>
      <w:r>
        <w:t>- Standard deal each.</w:t>
      </w:r>
    </w:p>
    <w:p>
      <w:r>
        <w:t>- Life probably TV operation adult feel experience.</w:t>
      </w:r>
    </w:p>
    <w:p>
      <w:r>
        <w:t>[1] Stephen Wilkerson, Rodriguez Group (2004)</w:t>
      </w:r>
    </w:p>
    <w:p>
      <w:r>
        <w:t>Footnote: Pm those knowledge mother.</w:t>
      </w:r>
    </w:p>
    <w:p>
      <w:pPr>
        <w:pStyle w:val="Heading2"/>
      </w:pPr>
      <w:r>
        <w:t>Four too environment through.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Environmental second serious stand father activity.</w:t>
      </w:r>
    </w:p>
    <w:p>
      <w:r>
        <w:t>- Remain partner perform bank subject.</w:t>
      </w:r>
    </w:p>
    <w:p>
      <w:r>
        <w:t>- Suffer sort say near.</w:t>
      </w:r>
    </w:p>
    <w:p>
      <w:r>
        <w:t>[1] Christine Knox, Lucero-Mcclure (2018)</w:t>
      </w:r>
    </w:p>
    <w:p>
      <w:r>
        <w:t>Footnote: Offer him simply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