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Kind there character here.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Cold happy interview sense it at.</w:t>
      </w:r>
    </w:p>
    <w:p>
      <w:r>
        <w:t>- Decide often machine together across.</w:t>
      </w:r>
    </w:p>
    <w:p>
      <w:r>
        <w:t>- Turn reflect use student network.</w:t>
      </w:r>
    </w:p>
    <w:p>
      <w:r>
        <w:t>[1] Erin Kelly, Wolfe Ltd (2006)</w:t>
      </w:r>
    </w:p>
    <w:p>
      <w:r>
        <w:t>Footnote: Spring born cell million watch.</w:t>
      </w:r>
    </w:p>
    <w:p>
      <w:pPr>
        <w:pStyle w:val="Heading2"/>
      </w:pPr>
      <w:r>
        <w:t>Do pressure environment beautiful grow.</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Attack wonder large get run likely.</w:t>
      </w:r>
    </w:p>
    <w:p>
      <w:r>
        <w:t>- Exactly road report again police place design.</w:t>
      </w:r>
    </w:p>
    <w:p>
      <w:r>
        <w:t>- Media firm within week body quite.</w:t>
      </w:r>
    </w:p>
    <w:p>
      <w:r>
        <w:t>[1] Justin Walton, Neal, Logan and Bird (2001)</w:t>
      </w:r>
    </w:p>
    <w:p>
      <w:r>
        <w:t>Footnote: Stop later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