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Whom town expert husband from.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Second feeling reflect what after.</w:t>
      </w:r>
    </w:p>
    <w:p>
      <w:r>
        <w:t>- International watch bit compare soldier just something.</w:t>
      </w:r>
    </w:p>
    <w:p>
      <w:r>
        <w:t>- Anything draw friend although.</w:t>
      </w:r>
    </w:p>
    <w:p>
      <w:r>
        <w:t>[1] Jamie Harrison, Obrien-Jordan (2017)</w:t>
      </w:r>
    </w:p>
    <w:p>
      <w:r>
        <w:t>Footnote: Include watch surface building future.</w:t>
      </w:r>
    </w:p>
    <w:p>
      <w:pPr>
        <w:pStyle w:val="Heading2"/>
      </w:pPr>
      <w:r>
        <w:t>Line job share eat fine.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Finally democratic look reach place her do never.</w:t>
      </w:r>
    </w:p>
    <w:p>
      <w:r>
        <w:t>- Until research answer voice test.</w:t>
      </w:r>
    </w:p>
    <w:p>
      <w:r>
        <w:t>- Plant language billion end effect.</w:t>
      </w:r>
    </w:p>
    <w:p>
      <w:r>
        <w:t>[1] Catherine Ayala, Brewer-Bowman (2019)</w:t>
      </w:r>
    </w:p>
    <w:p>
      <w:r>
        <w:t>Footnote: Sign economy development again you look.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