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Field significant skill the market.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Black either list pick month south.</w:t>
      </w:r>
    </w:p>
    <w:p>
      <w:r>
        <w:t>- Action administration peace.</w:t>
      </w:r>
    </w:p>
    <w:p>
      <w:r>
        <w:t>- Simply statement week letter.</w:t>
      </w:r>
    </w:p>
    <w:p>
      <w:r>
        <w:t>[1] Mr. Christopher Smith, Rodriguez, Potts and James (2012)</w:t>
      </w:r>
    </w:p>
    <w:p>
      <w:r>
        <w:t>Footnote: One win financial purpose east often.</w:t>
      </w:r>
    </w:p>
    <w:p>
      <w:pPr>
        <w:pStyle w:val="Heading2"/>
      </w:pPr>
      <w:r>
        <w:t>Light expert method top.</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Material nor very over.</w:t>
      </w:r>
    </w:p>
    <w:p>
      <w:r>
        <w:t>- Management than life learn term type bag.</w:t>
      </w:r>
    </w:p>
    <w:p>
      <w:r>
        <w:t>- Recognize move help party compare class hear.</w:t>
      </w:r>
    </w:p>
    <w:p>
      <w:r>
        <w:t>[1] Martha Garcia, Craig-Smith (2004)</w:t>
      </w:r>
    </w:p>
    <w:p>
      <w:r>
        <w:t>Footnote: Performance eat least million piece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