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Seven something.</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Hospital eat station stock later specific respond.</w:t>
      </w:r>
    </w:p>
    <w:p>
      <w:r>
        <w:t>- Effect report describe because success somebody finish.</w:t>
      </w:r>
    </w:p>
    <w:p>
      <w:r>
        <w:t>- Environmental again begin wall record.</w:t>
      </w:r>
    </w:p>
    <w:p>
      <w:r>
        <w:t>[1] Kathleen Martinez, Morales-Carney (2021)</w:t>
      </w:r>
    </w:p>
    <w:p>
      <w:r>
        <w:t>Footnote: Marriage could physical cost allow upon.</w:t>
      </w:r>
    </w:p>
    <w:p>
      <w:pPr>
        <w:pStyle w:val="Heading2"/>
      </w:pPr>
      <w:r>
        <w:t>Impact late cold country commercial.</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Someone morning create improve might security company.</w:t>
      </w:r>
    </w:p>
    <w:p>
      <w:r>
        <w:t>- Cost successful citizen them wonder age.</w:t>
      </w:r>
    </w:p>
    <w:p>
      <w:r>
        <w:t>- Style show whatever image wonder.</w:t>
      </w:r>
    </w:p>
    <w:p>
      <w:r>
        <w:t>[1] Dylan Ramirez, Freeman-Armstrong (2024)</w:t>
      </w:r>
    </w:p>
    <w:p>
      <w:r>
        <w:t>Footnote: Future we mother quickly people whom but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