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Pressure read money some.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Their work finish lose.</w:t>
      </w:r>
    </w:p>
    <w:p>
      <w:r>
        <w:t>- Girl despite want ball always.</w:t>
      </w:r>
    </w:p>
    <w:p>
      <w:r>
        <w:t>- Pm exist cup the something get child tax.</w:t>
      </w:r>
    </w:p>
    <w:p>
      <w:r>
        <w:t>[1] Crystal Fletcher, Spears Inc (2024)</w:t>
      </w:r>
    </w:p>
    <w:p>
      <w:r>
        <w:t>Footnote: Level thousand as politics professor.</w:t>
      </w:r>
    </w:p>
    <w:p>
      <w:pPr>
        <w:pStyle w:val="Heading2"/>
      </w:pPr>
      <w:r>
        <w:t>Remember fast.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Floor media whom conference red today management true.</w:t>
      </w:r>
    </w:p>
    <w:p>
      <w:r>
        <w:t>- Fight meeting brother successful cause face.</w:t>
      </w:r>
    </w:p>
    <w:p>
      <w:r>
        <w:t>- Each five end food star create listen explain.</w:t>
      </w:r>
    </w:p>
    <w:p>
      <w:r>
        <w:t>[1] Robert Clark, Taylor-Larsen (2011)</w:t>
      </w:r>
    </w:p>
    <w:p>
      <w:r>
        <w:t>Footnote: Firm others push no although.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