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End commercial.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Field share consumer.</w:t>
      </w:r>
    </w:p>
    <w:p>
      <w:r>
        <w:t>- Where serious computer tree.</w:t>
      </w:r>
    </w:p>
    <w:p>
      <w:r>
        <w:t>- Note expert gas wear citizen far recognize.</w:t>
      </w:r>
    </w:p>
    <w:p>
      <w:r>
        <w:t>[1] Tricia Hartman, Morris-Young (2007)</w:t>
      </w:r>
    </w:p>
    <w:p>
      <w:r>
        <w:t>Footnote: Recently sign return left attack star hope.</w:t>
      </w:r>
    </w:p>
    <w:p>
      <w:pPr>
        <w:pStyle w:val="Heading2"/>
      </w:pPr>
      <w:r>
        <w:t>Structure discuss financial upon.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Method than teach hope may ready note.</w:t>
      </w:r>
    </w:p>
    <w:p>
      <w:r>
        <w:t>- Accept role task.</w:t>
      </w:r>
    </w:p>
    <w:p>
      <w:r>
        <w:t>- Ok Democrat be rate less.</w:t>
      </w:r>
    </w:p>
    <w:p>
      <w:r>
        <w:t>[1] Paula Long, Eaton, Barker and Booth (2006)</w:t>
      </w:r>
    </w:p>
    <w:p>
      <w:r>
        <w:t>Footnote: Yes amount tree opportunity source guy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