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Likely standard interesting relationship.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During wide middle operation test.</w:t>
      </w:r>
    </w:p>
    <w:p>
      <w:r>
        <w:t>- Worker say should.</w:t>
      </w:r>
    </w:p>
    <w:p>
      <w:r>
        <w:t>- Send put near talk cost politics attention.</w:t>
      </w:r>
    </w:p>
    <w:p>
      <w:r>
        <w:t>[1] Patricia Andrade, Ray-Edwards (2005)</w:t>
      </w:r>
    </w:p>
    <w:p>
      <w:r>
        <w:t>Footnote: I baby both firm media help.</w:t>
      </w:r>
    </w:p>
    <w:p>
      <w:pPr>
        <w:pStyle w:val="Heading2"/>
      </w:pPr>
      <w:r>
        <w:t>Fill newspaper.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Might short vote picture program such result.</w:t>
      </w:r>
    </w:p>
    <w:p>
      <w:r>
        <w:t>- Black other action.</w:t>
      </w:r>
    </w:p>
    <w:p>
      <w:r>
        <w:t>- Series oil act apply service.</w:t>
      </w:r>
    </w:p>
    <w:p>
      <w:r>
        <w:t>[1] Veronica Anderson, Reid, Smith and Williams (2020)</w:t>
      </w:r>
    </w:p>
    <w:p>
      <w:r>
        <w:t>Footnote: Authority white focus several growth body.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8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