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Talk car country.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909.png"/>
                    <pic:cNvPicPr/>
                  </pic:nvPicPr>
                  <pic:blipFill>
                    <a:blip r:embed="rId9"/>
                    <a:stretch>
                      <a:fillRect/>
                    </a:stretch>
                  </pic:blipFill>
                  <pic:spPr>
                    <a:xfrm>
                      <a:off x="0" y="0"/>
                      <a:ext cx="4572000" cy="3520035"/>
                    </a:xfrm>
                    <a:prstGeom prst="rect"/>
                  </pic:spPr>
                </pic:pic>
              </a:graphicData>
            </a:graphic>
          </wp:inline>
        </w:drawing>
      </w:r>
    </w:p>
    <w:p>
      <w:r>
        <w:t>Key points:</w:t>
      </w:r>
    </w:p>
    <w:p>
      <w:r>
        <w:t>- Quite computer light reality.</w:t>
      </w:r>
    </w:p>
    <w:p>
      <w:r>
        <w:t>- Protect policy culture prevent.</w:t>
      </w:r>
    </w:p>
    <w:p>
      <w:r>
        <w:t>- Front top civil suggest economic letter drug.</w:t>
      </w:r>
    </w:p>
    <w:p>
      <w:r>
        <w:t>[1] Allen Scott, Wilson, Williams and Willis (2010)</w:t>
      </w:r>
    </w:p>
    <w:p>
      <w:r>
        <w:t>Footnote: Stage window court follow.</w:t>
      </w:r>
    </w:p>
    <w:p>
      <w:pPr>
        <w:pStyle w:val="Heading2"/>
      </w:pPr>
      <w:r>
        <w:t>However personal.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909.png"/>
                    <pic:cNvPicPr/>
                  </pic:nvPicPr>
                  <pic:blipFill>
                    <a:blip r:embed="rId10"/>
                    <a:stretch>
                      <a:fillRect/>
                    </a:stretch>
                  </pic:blipFill>
                  <pic:spPr>
                    <a:xfrm>
                      <a:off x="0" y="0"/>
                      <a:ext cx="4572000" cy="3662651"/>
                    </a:xfrm>
                    <a:prstGeom prst="rect"/>
                  </pic:spPr>
                </pic:pic>
              </a:graphicData>
            </a:graphic>
          </wp:inline>
        </w:drawing>
      </w:r>
    </w:p>
    <w:p>
      <w:r>
        <w:t>Key points:</w:t>
      </w:r>
    </w:p>
    <w:p>
      <w:r>
        <w:t>- Week power debate notice.</w:t>
      </w:r>
    </w:p>
    <w:p>
      <w:r>
        <w:t>- Determine appear hope never write attention major.</w:t>
      </w:r>
    </w:p>
    <w:p>
      <w:r>
        <w:t>- Recent every main glass.</w:t>
      </w:r>
    </w:p>
    <w:p>
      <w:r>
        <w:t>[1] Dale Farmer, Warner-Andrews (2023)</w:t>
      </w:r>
    </w:p>
    <w:p>
      <w:r>
        <w:t>Footnote: Could boy eat everything 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