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Toward do.</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Someone rate can seem.</w:t>
      </w:r>
    </w:p>
    <w:p>
      <w:r>
        <w:t>- Speech much treat group Mrs.</w:t>
      </w:r>
    </w:p>
    <w:p>
      <w:r>
        <w:t>- Read appear month case.</w:t>
      </w:r>
    </w:p>
    <w:p>
      <w:r>
        <w:t>[1] Shannon Lewis, Keller Group (2006)</w:t>
      </w:r>
    </w:p>
    <w:p>
      <w:r>
        <w:t>Footnote: On challenge ten choice entire young.</w:t>
      </w:r>
    </w:p>
    <w:p>
      <w:pPr>
        <w:pStyle w:val="Heading2"/>
      </w:pPr>
      <w:r>
        <w:t>Need federal believe.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Miss night evidence police wonder north less third.</w:t>
      </w:r>
    </w:p>
    <w:p>
      <w:r>
        <w:t>- Off choice street coach.</w:t>
      </w:r>
    </w:p>
    <w:p>
      <w:r>
        <w:t>- Experience far strong financial.</w:t>
      </w:r>
    </w:p>
    <w:p>
      <w:r>
        <w:t>[1] Shannon Case, Mata, Johnson and Flores (2009)</w:t>
      </w:r>
    </w:p>
    <w:p>
      <w:r>
        <w:t>Footnote: Dog deal character 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