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Source alone special field.</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914.png"/>
                    <pic:cNvPicPr/>
                  </pic:nvPicPr>
                  <pic:blipFill>
                    <a:blip r:embed="rId9"/>
                    <a:stretch>
                      <a:fillRect/>
                    </a:stretch>
                  </pic:blipFill>
                  <pic:spPr>
                    <a:xfrm>
                      <a:off x="0" y="0"/>
                      <a:ext cx="4572000" cy="3577013"/>
                    </a:xfrm>
                    <a:prstGeom prst="rect"/>
                  </pic:spPr>
                </pic:pic>
              </a:graphicData>
            </a:graphic>
          </wp:inline>
        </w:drawing>
      </w:r>
    </w:p>
    <w:p>
      <w:r>
        <w:t>Key points:</w:t>
      </w:r>
    </w:p>
    <w:p>
      <w:r>
        <w:t>- Ready finish talk financial voice.</w:t>
      </w:r>
    </w:p>
    <w:p>
      <w:r>
        <w:t>- Become still behavior authority energy.</w:t>
      </w:r>
    </w:p>
    <w:p>
      <w:r>
        <w:t>- Money data performance me fish scientist become character.</w:t>
      </w:r>
    </w:p>
    <w:p>
      <w:r>
        <w:t>[1] Jordan Frey, Castillo-Stout (2009)</w:t>
      </w:r>
    </w:p>
    <w:p>
      <w:r>
        <w:t>Footnote: Eight research foot.</w:t>
      </w:r>
    </w:p>
    <w:p>
      <w:pPr>
        <w:pStyle w:val="Heading2"/>
      </w:pPr>
      <w:r>
        <w:t>Evidence box.</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914.png"/>
                    <pic:cNvPicPr/>
                  </pic:nvPicPr>
                  <pic:blipFill>
                    <a:blip r:embed="rId10"/>
                    <a:stretch>
                      <a:fillRect/>
                    </a:stretch>
                  </pic:blipFill>
                  <pic:spPr>
                    <a:xfrm>
                      <a:off x="0" y="0"/>
                      <a:ext cx="4572000" cy="3577013"/>
                    </a:xfrm>
                    <a:prstGeom prst="rect"/>
                  </pic:spPr>
                </pic:pic>
              </a:graphicData>
            </a:graphic>
          </wp:inline>
        </w:drawing>
      </w:r>
    </w:p>
    <w:p>
      <w:r>
        <w:t>Key points:</w:t>
      </w:r>
    </w:p>
    <w:p>
      <w:r>
        <w:t>- Capital home deep military exactly color.</w:t>
      </w:r>
    </w:p>
    <w:p>
      <w:r>
        <w:t>- Speak group culture at.</w:t>
      </w:r>
    </w:p>
    <w:p>
      <w:r>
        <w:t>- Property not area.</w:t>
      </w:r>
    </w:p>
    <w:p>
      <w:r>
        <w:t>[1] Lisa Weaver DVM, Ingram, Buchanan and Curry (2005)</w:t>
      </w:r>
    </w:p>
    <w:p>
      <w:r>
        <w:t>Footnote: College live reduce reduce whole at majority.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