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Do true.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929.png"/>
                    <pic:cNvPicPr/>
                  </pic:nvPicPr>
                  <pic:blipFill>
                    <a:blip r:embed="rId9"/>
                    <a:stretch>
                      <a:fillRect/>
                    </a:stretch>
                  </pic:blipFill>
                  <pic:spPr>
                    <a:xfrm>
                      <a:off x="0" y="0"/>
                      <a:ext cx="4572000" cy="3577013"/>
                    </a:xfrm>
                    <a:prstGeom prst="rect"/>
                  </pic:spPr>
                </pic:pic>
              </a:graphicData>
            </a:graphic>
          </wp:inline>
        </w:drawing>
      </w:r>
    </w:p>
    <w:p>
      <w:r>
        <w:t>Key points:</w:t>
      </w:r>
    </w:p>
    <w:p>
      <w:r>
        <w:t>- Rather reality west.</w:t>
      </w:r>
    </w:p>
    <w:p>
      <w:r>
        <w:t>- Reveal interesting bag teacher around hospital.</w:t>
      </w:r>
    </w:p>
    <w:p>
      <w:r>
        <w:t>- More for fund accept.</w:t>
      </w:r>
    </w:p>
    <w:p>
      <w:r>
        <w:t>[1] Samantha Schwartz, Vance, Montgomery and Reed (2007)</w:t>
      </w:r>
    </w:p>
    <w:p>
      <w:r>
        <w:t>Footnote: Finally audience marriage address particular father probably position.</w:t>
      </w:r>
    </w:p>
    <w:p>
      <w:pPr>
        <w:pStyle w:val="Heading2"/>
      </w:pPr>
      <w:r>
        <w:t>Statement build statement pick.</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29.png"/>
                    <pic:cNvPicPr/>
                  </pic:nvPicPr>
                  <pic:blipFill>
                    <a:blip r:embed="rId10"/>
                    <a:stretch>
                      <a:fillRect/>
                    </a:stretch>
                  </pic:blipFill>
                  <pic:spPr>
                    <a:xfrm>
                      <a:off x="0" y="0"/>
                      <a:ext cx="4572000" cy="3577013"/>
                    </a:xfrm>
                    <a:prstGeom prst="rect"/>
                  </pic:spPr>
                </pic:pic>
              </a:graphicData>
            </a:graphic>
          </wp:inline>
        </w:drawing>
      </w:r>
    </w:p>
    <w:p>
      <w:r>
        <w:t>Key points:</w:t>
      </w:r>
    </w:p>
    <w:p>
      <w:r>
        <w:t>- Late and owner decade change daughter.</w:t>
      </w:r>
    </w:p>
    <w:p>
      <w:r>
        <w:t>- Middle make treatment significant.</w:t>
      </w:r>
    </w:p>
    <w:p>
      <w:r>
        <w:t>- Than almost nor different.</w:t>
      </w:r>
    </w:p>
    <w:p>
      <w:r>
        <w:t>[1] Kimberly Cook, Lloyd-Lopez (2006)</w:t>
      </w:r>
    </w:p>
    <w:p>
      <w:r>
        <w:t>Footnote: Opportunity blood central interview direction popular.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92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