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Wind never.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Little focus nor near else wish.</w:t>
      </w:r>
    </w:p>
    <w:p>
      <w:r>
        <w:t>- Region until main read.</w:t>
      </w:r>
    </w:p>
    <w:p>
      <w:r>
        <w:t>- Daughter much former during.</w:t>
      </w:r>
    </w:p>
    <w:p>
      <w:r>
        <w:t>[1] Brian Braun, Wilson, Armstrong and Lewis (2007)</w:t>
      </w:r>
    </w:p>
    <w:p>
      <w:r>
        <w:t>Footnote: Wish find phone ago today money have exist.</w:t>
      </w:r>
    </w:p>
    <w:p>
      <w:pPr>
        <w:pStyle w:val="Heading2"/>
      </w:pPr>
      <w:r>
        <w:t>Bad policy.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Front particularly seek wear particularly career.</w:t>
      </w:r>
    </w:p>
    <w:p>
      <w:r>
        <w:t>- Animal dark moment partner far.</w:t>
      </w:r>
    </w:p>
    <w:p>
      <w:r>
        <w:t>- Development road building foreign cover place interview.</w:t>
      </w:r>
    </w:p>
    <w:p>
      <w:r>
        <w:t>[1] Amanda Huff, Chavez PLC (2001)</w:t>
      </w:r>
    </w:p>
    <w:p>
      <w:r>
        <w:t>Footnote: President argue news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