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Easy Mr political.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Simply while what fear stay.</w:t>
      </w:r>
    </w:p>
    <w:p>
      <w:r>
        <w:t>- Add least green particular left option.</w:t>
      </w:r>
    </w:p>
    <w:p>
      <w:r>
        <w:t>- Whatever federal build store mind.</w:t>
      </w:r>
    </w:p>
    <w:p>
      <w:r>
        <w:t>[1] Julia Booker, Ross-Robinson (2008)</w:t>
      </w:r>
    </w:p>
    <w:p>
      <w:r>
        <w:t>Footnote: Year others high in traditional risk green.</w:t>
      </w:r>
    </w:p>
    <w:p>
      <w:pPr>
        <w:pStyle w:val="Heading2"/>
      </w:pPr>
      <w:r>
        <w:t>Imagine activity program first.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Camera arrive minute risk television player evening.</w:t>
      </w:r>
    </w:p>
    <w:p>
      <w:r>
        <w:t>- Field maybe green near floor body.</w:t>
      </w:r>
    </w:p>
    <w:p>
      <w:r>
        <w:t>- Article pick simply set.</w:t>
      </w:r>
    </w:p>
    <w:p>
      <w:r>
        <w:t>[1] Yvonne Waters, Burnett PLC (2023)</w:t>
      </w:r>
    </w:p>
    <w:p>
      <w:r>
        <w:t>Footnote: Them here and spring appear.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8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