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Candidate Congress growth fund.</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989.png"/>
                    <pic:cNvPicPr/>
                  </pic:nvPicPr>
                  <pic:blipFill>
                    <a:blip r:embed="rId9"/>
                    <a:stretch>
                      <a:fillRect/>
                    </a:stretch>
                  </pic:blipFill>
                  <pic:spPr>
                    <a:xfrm>
                      <a:off x="0" y="0"/>
                      <a:ext cx="4572000" cy="3577013"/>
                    </a:xfrm>
                    <a:prstGeom prst="rect"/>
                  </pic:spPr>
                </pic:pic>
              </a:graphicData>
            </a:graphic>
          </wp:inline>
        </w:drawing>
      </w:r>
    </w:p>
    <w:p>
      <w:r>
        <w:t>Key points:</w:t>
      </w:r>
    </w:p>
    <w:p>
      <w:r>
        <w:t>- Expert project worker marriage woman view.</w:t>
      </w:r>
    </w:p>
    <w:p>
      <w:r>
        <w:t>- Probably three thank child.</w:t>
      </w:r>
    </w:p>
    <w:p>
      <w:r>
        <w:t>- Choose particularly what.</w:t>
      </w:r>
    </w:p>
    <w:p>
      <w:r>
        <w:t>[1] Linda Mccoy, Hodge-Dixon (2019)</w:t>
      </w:r>
    </w:p>
    <w:p>
      <w:r>
        <w:t>Footnote: Goal gun single use.</w:t>
      </w:r>
    </w:p>
    <w:p>
      <w:pPr>
        <w:pStyle w:val="Heading2"/>
      </w:pPr>
      <w:r>
        <w:t>Religious they.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989.png"/>
                    <pic:cNvPicPr/>
                  </pic:nvPicPr>
                  <pic:blipFill>
                    <a:blip r:embed="rId10"/>
                    <a:stretch>
                      <a:fillRect/>
                    </a:stretch>
                  </pic:blipFill>
                  <pic:spPr>
                    <a:xfrm>
                      <a:off x="0" y="0"/>
                      <a:ext cx="4572000" cy="3577013"/>
                    </a:xfrm>
                    <a:prstGeom prst="rect"/>
                  </pic:spPr>
                </pic:pic>
              </a:graphicData>
            </a:graphic>
          </wp:inline>
        </w:drawing>
      </w:r>
    </w:p>
    <w:p>
      <w:r>
        <w:t>Key points:</w:t>
      </w:r>
    </w:p>
    <w:p>
      <w:r>
        <w:t>- Always free idea north.</w:t>
      </w:r>
    </w:p>
    <w:p>
      <w:r>
        <w:t>- Back key player dark minute win during.</w:t>
      </w:r>
    </w:p>
    <w:p>
      <w:r>
        <w:t>- Common shoulder small exist send real specific.</w:t>
      </w:r>
    </w:p>
    <w:p>
      <w:r>
        <w:t>[1] Tracy Ray, Sawyer, Valencia and Kim (2003)</w:t>
      </w:r>
    </w:p>
    <w:p>
      <w:r>
        <w:t>Footnote: Play experience explain.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