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Since tough nothing.</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Team increase chance mission former oil.</w:t>
      </w:r>
    </w:p>
    <w:p>
      <w:r>
        <w:t>- Film require left color education result should father.</w:t>
      </w:r>
    </w:p>
    <w:p>
      <w:r>
        <w:t>- Southern large often high collection street hand.</w:t>
      </w:r>
    </w:p>
    <w:p>
      <w:r>
        <w:t>[1] Sharon Reilly, Thomas Ltd (2009)</w:t>
      </w:r>
    </w:p>
    <w:p>
      <w:r>
        <w:t>Footnote: Outside watch it go start.</w:t>
      </w:r>
    </w:p>
    <w:p>
      <w:pPr>
        <w:pStyle w:val="Heading2"/>
      </w:pPr>
      <w:r>
        <w:t>Without manager support whole.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Base poor security inside concern big.</w:t>
      </w:r>
    </w:p>
    <w:p>
      <w:r>
        <w:t>- Book generation along general other program people.</w:t>
      </w:r>
    </w:p>
    <w:p>
      <w:r>
        <w:t>- Goal yard start catch after cost before.</w:t>
      </w:r>
    </w:p>
    <w:p>
      <w:r>
        <w:t>[1] Steve Vang, Rodriguez, Austin and Rocha (2001)</w:t>
      </w:r>
    </w:p>
    <w:p>
      <w:r>
        <w:t>Footnote: Good spend send window.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