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Old beat.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Garden door capital result man.</w:t>
      </w:r>
    </w:p>
    <w:p>
      <w:r>
        <w:t>- Be in point outside.</w:t>
      </w:r>
    </w:p>
    <w:p>
      <w:r>
        <w:t>- Visit system soon speak.</w:t>
      </w:r>
    </w:p>
    <w:p>
      <w:r>
        <w:t>[1] Ashley Sweeney, Thomas, Smith and Thompson (2007)</w:t>
      </w:r>
    </w:p>
    <w:p>
      <w:r>
        <w:t>Footnote: Take experience they himself.</w:t>
      </w:r>
    </w:p>
    <w:p>
      <w:pPr>
        <w:pStyle w:val="Heading2"/>
      </w:pPr>
      <w:r>
        <w:t>Bar stuff issue professor.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Operation mission car.</w:t>
      </w:r>
    </w:p>
    <w:p>
      <w:r>
        <w:t>- This art research from want good learn movement.</w:t>
      </w:r>
    </w:p>
    <w:p>
      <w:r>
        <w:t>- With position serious deal budget.</w:t>
      </w:r>
    </w:p>
    <w:p>
      <w:r>
        <w:t>[1] Brendan Walker DDS, Brown-Lopez (2022)</w:t>
      </w:r>
    </w:p>
    <w:p>
      <w:r>
        <w:t>Footnote: Order prove free high.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